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BB7C" w14:textId="58B8C919" w:rsidR="00612D74" w:rsidRPr="009B07E6" w:rsidRDefault="008D6088">
      <w:pPr>
        <w:rPr>
          <w:rFonts w:ascii="Times New Roman" w:hAnsi="Times New Roman" w:cs="Times New Roman"/>
        </w:rPr>
      </w:pPr>
      <w:r w:rsidRPr="009B07E6">
        <w:rPr>
          <w:rFonts w:ascii="Times New Roman" w:eastAsia="Calibri" w:hAnsi="Times New Roman" w:cs="Times New Roman"/>
          <w:noProof/>
          <w:sz w:val="22"/>
          <w:szCs w:val="22"/>
          <w:lang w:val="en-GB"/>
        </w:rPr>
        <w:drawing>
          <wp:anchor distT="0" distB="0" distL="114300" distR="114300" simplePos="0" relativeHeight="251659264" behindDoc="0" locked="0" layoutInCell="1" allowOverlap="0" wp14:anchorId="4407B839" wp14:editId="158B09FF">
            <wp:simplePos x="0" y="0"/>
            <wp:positionH relativeFrom="margin">
              <wp:align>center</wp:align>
            </wp:positionH>
            <wp:positionV relativeFrom="page">
              <wp:posOffset>485775</wp:posOffset>
            </wp:positionV>
            <wp:extent cx="2877820" cy="1144054"/>
            <wp:effectExtent l="0" t="0" r="0" b="0"/>
            <wp:wrapSquare wrapText="bothSides"/>
            <wp:docPr id="8" name="Picture 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8"/>
                    <a:stretch>
                      <a:fillRect/>
                    </a:stretch>
                  </pic:blipFill>
                  <pic:spPr>
                    <a:xfrm>
                      <a:off x="0" y="0"/>
                      <a:ext cx="2877820" cy="1144054"/>
                    </a:xfrm>
                    <a:prstGeom prst="rect">
                      <a:avLst/>
                    </a:prstGeom>
                  </pic:spPr>
                </pic:pic>
              </a:graphicData>
            </a:graphic>
            <wp14:sizeRelH relativeFrom="margin">
              <wp14:pctWidth>0</wp14:pctWidth>
            </wp14:sizeRelH>
            <wp14:sizeRelV relativeFrom="margin">
              <wp14:pctHeight>0</wp14:pctHeight>
            </wp14:sizeRelV>
          </wp:anchor>
        </w:drawing>
      </w:r>
    </w:p>
    <w:p w14:paraId="653660CE" w14:textId="77777777" w:rsidR="008D6088" w:rsidRPr="009B07E6" w:rsidRDefault="008D6088" w:rsidP="008D6088">
      <w:pPr>
        <w:rPr>
          <w:rFonts w:ascii="Times New Roman" w:hAnsi="Times New Roman" w:cs="Times New Roman"/>
        </w:rPr>
      </w:pPr>
    </w:p>
    <w:p w14:paraId="36AA36D6" w14:textId="77777777" w:rsidR="008D6088" w:rsidRPr="00C003B9" w:rsidRDefault="008D6088" w:rsidP="008D6088">
      <w:pPr>
        <w:rPr>
          <w:rFonts w:ascii="Times New Roman" w:hAnsi="Times New Roman" w:cs="Times New Roman"/>
          <w:sz w:val="22"/>
          <w:szCs w:val="22"/>
        </w:rPr>
      </w:pPr>
    </w:p>
    <w:p w14:paraId="5590DF3A" w14:textId="0871BD19" w:rsidR="002B3992" w:rsidRDefault="002B3992" w:rsidP="002B3992">
      <w:pPr>
        <w:spacing w:line="259" w:lineRule="auto"/>
        <w:jc w:val="center"/>
        <w:rPr>
          <w:rFonts w:ascii="Times New Roman" w:hAnsi="Times New Roman" w:cs="Times New Roman"/>
          <w:b/>
          <w:bCs/>
          <w:sz w:val="22"/>
          <w:szCs w:val="22"/>
        </w:rPr>
      </w:pPr>
      <w:r w:rsidRPr="002B3992">
        <w:rPr>
          <w:rFonts w:ascii="Times New Roman" w:hAnsi="Times New Roman" w:cs="Times New Roman"/>
          <w:b/>
          <w:bCs/>
          <w:sz w:val="22"/>
          <w:szCs w:val="22"/>
        </w:rPr>
        <w:t xml:space="preserve">Tajiri Resources </w:t>
      </w:r>
      <w:r w:rsidR="0070601E">
        <w:rPr>
          <w:rFonts w:ascii="Times New Roman" w:hAnsi="Times New Roman" w:cs="Times New Roman"/>
          <w:b/>
          <w:bCs/>
          <w:sz w:val="22"/>
          <w:szCs w:val="22"/>
        </w:rPr>
        <w:t>Closes $2</w:t>
      </w:r>
      <w:r w:rsidR="002945DD">
        <w:rPr>
          <w:rFonts w:ascii="Times New Roman" w:hAnsi="Times New Roman" w:cs="Times New Roman"/>
          <w:b/>
          <w:bCs/>
          <w:sz w:val="22"/>
          <w:szCs w:val="22"/>
        </w:rPr>
        <w:t xml:space="preserve"> </w:t>
      </w:r>
      <w:r w:rsidR="0070601E">
        <w:rPr>
          <w:rFonts w:ascii="Times New Roman" w:hAnsi="Times New Roman" w:cs="Times New Roman"/>
          <w:b/>
          <w:bCs/>
          <w:sz w:val="22"/>
          <w:szCs w:val="22"/>
        </w:rPr>
        <w:t>Million Private Placement</w:t>
      </w:r>
    </w:p>
    <w:p w14:paraId="3D8B0672" w14:textId="5680EF81" w:rsidR="0070601E" w:rsidRPr="0070601E" w:rsidRDefault="008D6088" w:rsidP="0070601E">
      <w:pPr>
        <w:spacing w:line="259" w:lineRule="auto"/>
        <w:jc w:val="both"/>
        <w:rPr>
          <w:rFonts w:ascii="Times New Roman" w:hAnsi="Times New Roman" w:cs="Times New Roman"/>
          <w:sz w:val="22"/>
          <w:szCs w:val="22"/>
        </w:rPr>
      </w:pPr>
      <w:r w:rsidRPr="00C003B9">
        <w:rPr>
          <w:rFonts w:ascii="Times New Roman" w:eastAsia="Aptos" w:hAnsi="Times New Roman" w:cs="Times New Roman"/>
          <w:b/>
          <w:bCs/>
          <w:color w:val="000000"/>
          <w:sz w:val="22"/>
          <w:szCs w:val="22"/>
          <w:lang w:val="en-GB"/>
        </w:rPr>
        <w:t>VANCOUVER, BRITISH COLUMBIA</w:t>
      </w:r>
      <w:r w:rsidRPr="00C003B9">
        <w:rPr>
          <w:rFonts w:ascii="Times New Roman" w:eastAsia="Aptos" w:hAnsi="Times New Roman" w:cs="Times New Roman"/>
          <w:color w:val="000000"/>
          <w:sz w:val="22"/>
          <w:szCs w:val="22"/>
          <w:lang w:val="en-GB"/>
        </w:rPr>
        <w:t xml:space="preserve"> - (</w:t>
      </w:r>
      <w:r w:rsidR="002945DD">
        <w:rPr>
          <w:rFonts w:ascii="Times New Roman" w:eastAsia="Aptos" w:hAnsi="Times New Roman" w:cs="Times New Roman"/>
          <w:color w:val="000000"/>
          <w:sz w:val="22"/>
          <w:szCs w:val="22"/>
          <w:lang w:val="en-GB"/>
        </w:rPr>
        <w:t>May 1</w:t>
      </w:r>
      <w:r w:rsidRPr="00C003B9">
        <w:rPr>
          <w:rFonts w:ascii="Times New Roman" w:eastAsia="Aptos" w:hAnsi="Times New Roman" w:cs="Times New Roman"/>
          <w:color w:val="000000"/>
          <w:sz w:val="22"/>
          <w:szCs w:val="22"/>
          <w:lang w:val="en-GB"/>
        </w:rPr>
        <w:t>, 202</w:t>
      </w:r>
      <w:r w:rsidR="00742E82" w:rsidRPr="00C003B9">
        <w:rPr>
          <w:rFonts w:ascii="Times New Roman" w:eastAsia="Aptos" w:hAnsi="Times New Roman" w:cs="Times New Roman"/>
          <w:color w:val="000000"/>
          <w:sz w:val="22"/>
          <w:szCs w:val="22"/>
          <w:lang w:val="en-GB"/>
        </w:rPr>
        <w:t>6</w:t>
      </w:r>
      <w:r w:rsidRPr="00C003B9">
        <w:rPr>
          <w:rFonts w:ascii="Times New Roman" w:eastAsia="Aptos" w:hAnsi="Times New Roman" w:cs="Times New Roman"/>
          <w:color w:val="000000"/>
          <w:sz w:val="22"/>
          <w:szCs w:val="22"/>
          <w:lang w:val="en-GB"/>
        </w:rPr>
        <w:t>) Tajiri Resources Corp. (the “</w:t>
      </w:r>
      <w:r w:rsidRPr="00C003B9">
        <w:rPr>
          <w:rFonts w:ascii="Times New Roman" w:eastAsia="Aptos" w:hAnsi="Times New Roman" w:cs="Times New Roman"/>
          <w:b/>
          <w:bCs/>
          <w:color w:val="000000"/>
          <w:sz w:val="22"/>
          <w:szCs w:val="22"/>
          <w:lang w:val="en-GB"/>
        </w:rPr>
        <w:t>Company</w:t>
      </w:r>
      <w:r w:rsidRPr="00C003B9">
        <w:rPr>
          <w:rFonts w:ascii="Times New Roman" w:eastAsia="Aptos" w:hAnsi="Times New Roman" w:cs="Times New Roman"/>
          <w:color w:val="000000"/>
          <w:sz w:val="22"/>
          <w:szCs w:val="22"/>
          <w:lang w:val="en-GB"/>
        </w:rPr>
        <w:t>” or “</w:t>
      </w:r>
      <w:r w:rsidRPr="00C003B9">
        <w:rPr>
          <w:rFonts w:ascii="Times New Roman" w:eastAsia="Aptos" w:hAnsi="Times New Roman" w:cs="Times New Roman"/>
          <w:b/>
          <w:bCs/>
          <w:color w:val="000000"/>
          <w:sz w:val="22"/>
          <w:szCs w:val="22"/>
          <w:lang w:val="en-GB"/>
        </w:rPr>
        <w:t>Tajiri</w:t>
      </w:r>
      <w:r w:rsidRPr="00C003B9">
        <w:rPr>
          <w:rFonts w:ascii="Times New Roman" w:eastAsia="Aptos" w:hAnsi="Times New Roman" w:cs="Times New Roman"/>
          <w:color w:val="000000"/>
          <w:sz w:val="22"/>
          <w:szCs w:val="22"/>
          <w:lang w:val="en-GB"/>
        </w:rPr>
        <w:t>”) (TSXV: TAJ)</w:t>
      </w:r>
      <w:r w:rsidR="00806BD7" w:rsidRPr="00C003B9">
        <w:rPr>
          <w:rFonts w:ascii="Times New Roman" w:hAnsi="Times New Roman" w:cs="Times New Roman"/>
          <w:sz w:val="22"/>
          <w:szCs w:val="22"/>
        </w:rPr>
        <w:t xml:space="preserve"> </w:t>
      </w:r>
      <w:r w:rsidR="00C003B9" w:rsidRPr="00C003B9">
        <w:rPr>
          <w:rFonts w:ascii="Times New Roman" w:hAnsi="Times New Roman" w:cs="Times New Roman"/>
          <w:sz w:val="22"/>
          <w:szCs w:val="22"/>
        </w:rPr>
        <w:t xml:space="preserve">is </w:t>
      </w:r>
      <w:r w:rsidR="0070601E" w:rsidRPr="0070601E">
        <w:rPr>
          <w:rFonts w:ascii="Times New Roman" w:hAnsi="Times New Roman" w:cs="Times New Roman"/>
          <w:sz w:val="22"/>
          <w:szCs w:val="22"/>
        </w:rPr>
        <w:t>pleased to announce</w:t>
      </w:r>
      <w:r w:rsidR="005255B1">
        <w:rPr>
          <w:rFonts w:ascii="Times New Roman" w:hAnsi="Times New Roman" w:cs="Times New Roman"/>
          <w:sz w:val="22"/>
          <w:szCs w:val="22"/>
        </w:rPr>
        <w:t xml:space="preserve"> it has</w:t>
      </w:r>
      <w:r w:rsidR="0070601E" w:rsidRPr="0070601E">
        <w:rPr>
          <w:rFonts w:ascii="Times New Roman" w:hAnsi="Times New Roman" w:cs="Times New Roman"/>
          <w:sz w:val="22"/>
          <w:szCs w:val="22"/>
        </w:rPr>
        <w:t xml:space="preserve"> closed its previously announced non-brokered private placement offering</w:t>
      </w:r>
      <w:r w:rsidR="0070601E">
        <w:rPr>
          <w:rFonts w:ascii="Times New Roman" w:hAnsi="Times New Roman" w:cs="Times New Roman"/>
          <w:sz w:val="22"/>
          <w:szCs w:val="22"/>
        </w:rPr>
        <w:t xml:space="preserve"> </w:t>
      </w:r>
      <w:r w:rsidR="0070601E" w:rsidRPr="0070601E">
        <w:rPr>
          <w:rFonts w:ascii="Times New Roman" w:hAnsi="Times New Roman" w:cs="Times New Roman"/>
          <w:sz w:val="22"/>
          <w:szCs w:val="22"/>
        </w:rPr>
        <w:t>(the “</w:t>
      </w:r>
      <w:r w:rsidR="0070601E" w:rsidRPr="0070601E">
        <w:rPr>
          <w:rFonts w:ascii="Times New Roman" w:hAnsi="Times New Roman" w:cs="Times New Roman"/>
          <w:b/>
          <w:bCs/>
          <w:sz w:val="22"/>
          <w:szCs w:val="22"/>
        </w:rPr>
        <w:t>Offering</w:t>
      </w:r>
      <w:r w:rsidR="0070601E" w:rsidRPr="0070601E">
        <w:rPr>
          <w:rFonts w:ascii="Times New Roman" w:hAnsi="Times New Roman" w:cs="Times New Roman"/>
          <w:sz w:val="22"/>
          <w:szCs w:val="22"/>
        </w:rPr>
        <w:t>”) of units (“</w:t>
      </w:r>
      <w:r w:rsidR="0070601E" w:rsidRPr="0070601E">
        <w:rPr>
          <w:rFonts w:ascii="Times New Roman" w:hAnsi="Times New Roman" w:cs="Times New Roman"/>
          <w:b/>
          <w:bCs/>
          <w:sz w:val="22"/>
          <w:szCs w:val="22"/>
        </w:rPr>
        <w:t>Units</w:t>
      </w:r>
      <w:r w:rsidR="0070601E" w:rsidRPr="0070601E">
        <w:rPr>
          <w:rFonts w:ascii="Times New Roman" w:hAnsi="Times New Roman" w:cs="Times New Roman"/>
          <w:sz w:val="22"/>
          <w:szCs w:val="22"/>
        </w:rPr>
        <w:t xml:space="preserve">”) of the Company. </w:t>
      </w:r>
      <w:r w:rsidR="00D76B5A" w:rsidRPr="00D76B5A">
        <w:rPr>
          <w:rFonts w:ascii="Times New Roman" w:hAnsi="Times New Roman" w:cs="Times New Roman"/>
          <w:sz w:val="22"/>
          <w:szCs w:val="22"/>
        </w:rPr>
        <w:t xml:space="preserve">The </w:t>
      </w:r>
      <w:r w:rsidR="002945DD">
        <w:rPr>
          <w:rFonts w:ascii="Times New Roman" w:hAnsi="Times New Roman" w:cs="Times New Roman"/>
          <w:sz w:val="22"/>
          <w:szCs w:val="22"/>
        </w:rPr>
        <w:t>Offering</w:t>
      </w:r>
      <w:r w:rsidR="00D76B5A" w:rsidRPr="00D76B5A">
        <w:rPr>
          <w:rFonts w:ascii="Times New Roman" w:hAnsi="Times New Roman" w:cs="Times New Roman"/>
          <w:sz w:val="22"/>
          <w:szCs w:val="22"/>
        </w:rPr>
        <w:t xml:space="preserve"> consisted of </w:t>
      </w:r>
      <w:r w:rsidR="002945DD" w:rsidRPr="002945DD">
        <w:rPr>
          <w:rFonts w:ascii="Times New Roman" w:hAnsi="Times New Roman" w:cs="Times New Roman"/>
          <w:sz w:val="22"/>
          <w:szCs w:val="22"/>
        </w:rPr>
        <w:t>9,541,524</w:t>
      </w:r>
      <w:r w:rsidR="002945DD">
        <w:rPr>
          <w:rFonts w:ascii="Times New Roman" w:hAnsi="Times New Roman" w:cs="Times New Roman"/>
          <w:sz w:val="22"/>
          <w:szCs w:val="22"/>
        </w:rPr>
        <w:t xml:space="preserve"> </w:t>
      </w:r>
      <w:r w:rsidR="00D76B5A" w:rsidRPr="00D76B5A">
        <w:rPr>
          <w:rFonts w:ascii="Times New Roman" w:hAnsi="Times New Roman" w:cs="Times New Roman"/>
          <w:sz w:val="22"/>
          <w:szCs w:val="22"/>
        </w:rPr>
        <w:t>Units issued at a price of $0.</w:t>
      </w:r>
      <w:r w:rsidR="002945DD">
        <w:rPr>
          <w:rFonts w:ascii="Times New Roman" w:hAnsi="Times New Roman" w:cs="Times New Roman"/>
          <w:sz w:val="22"/>
          <w:szCs w:val="22"/>
        </w:rPr>
        <w:t>21</w:t>
      </w:r>
      <w:r w:rsidR="00D76B5A" w:rsidRPr="00D76B5A">
        <w:rPr>
          <w:rFonts w:ascii="Times New Roman" w:hAnsi="Times New Roman" w:cs="Times New Roman"/>
          <w:sz w:val="22"/>
          <w:szCs w:val="22"/>
        </w:rPr>
        <w:t xml:space="preserve"> per Unit for aggregate gross proceeds of approximately $</w:t>
      </w:r>
      <w:r w:rsidR="002945DD">
        <w:rPr>
          <w:rFonts w:ascii="Times New Roman" w:hAnsi="Times New Roman" w:cs="Times New Roman"/>
          <w:sz w:val="22"/>
          <w:szCs w:val="22"/>
        </w:rPr>
        <w:t>2,003,720</w:t>
      </w:r>
      <w:r w:rsidR="00D76B5A" w:rsidRPr="00D76B5A">
        <w:rPr>
          <w:rFonts w:ascii="Times New Roman" w:hAnsi="Times New Roman" w:cs="Times New Roman"/>
          <w:sz w:val="22"/>
          <w:szCs w:val="22"/>
        </w:rPr>
        <w:t>.</w:t>
      </w:r>
      <w:r w:rsidR="00D76B5A">
        <w:rPr>
          <w:rFonts w:ascii="Times New Roman" w:hAnsi="Times New Roman" w:cs="Times New Roman"/>
          <w:sz w:val="22"/>
          <w:szCs w:val="22"/>
        </w:rPr>
        <w:t xml:space="preserve"> </w:t>
      </w:r>
    </w:p>
    <w:p w14:paraId="19831D1B" w14:textId="7F5C2D93" w:rsidR="0070601E" w:rsidRPr="0070601E" w:rsidRDefault="0070601E" w:rsidP="0070601E">
      <w:pPr>
        <w:spacing w:line="259" w:lineRule="auto"/>
        <w:jc w:val="both"/>
        <w:rPr>
          <w:rFonts w:ascii="Times New Roman" w:hAnsi="Times New Roman" w:cs="Times New Roman"/>
          <w:bCs/>
          <w:sz w:val="22"/>
          <w:szCs w:val="22"/>
        </w:rPr>
      </w:pPr>
      <w:r w:rsidRPr="0070601E">
        <w:rPr>
          <w:rFonts w:ascii="Times New Roman" w:hAnsi="Times New Roman" w:cs="Times New Roman"/>
          <w:bCs/>
          <w:sz w:val="22"/>
          <w:szCs w:val="22"/>
        </w:rPr>
        <w:t>Each Unit consisted of one common share of the Company (each, a “</w:t>
      </w:r>
      <w:r w:rsidRPr="0070601E">
        <w:rPr>
          <w:rFonts w:ascii="Times New Roman" w:hAnsi="Times New Roman" w:cs="Times New Roman"/>
          <w:b/>
          <w:sz w:val="22"/>
          <w:szCs w:val="22"/>
        </w:rPr>
        <w:t>Common Share</w:t>
      </w:r>
      <w:r w:rsidRPr="0070601E">
        <w:rPr>
          <w:rFonts w:ascii="Times New Roman" w:hAnsi="Times New Roman" w:cs="Times New Roman"/>
          <w:bCs/>
          <w:sz w:val="22"/>
          <w:szCs w:val="22"/>
        </w:rPr>
        <w:t>”) and one-half of one common share purchase warrant (each, whole warrant a “</w:t>
      </w:r>
      <w:r w:rsidRPr="0070601E">
        <w:rPr>
          <w:rFonts w:ascii="Times New Roman" w:hAnsi="Times New Roman" w:cs="Times New Roman"/>
          <w:b/>
          <w:sz w:val="22"/>
          <w:szCs w:val="22"/>
        </w:rPr>
        <w:t>Warrant</w:t>
      </w:r>
      <w:r w:rsidRPr="0070601E">
        <w:rPr>
          <w:rFonts w:ascii="Times New Roman" w:hAnsi="Times New Roman" w:cs="Times New Roman"/>
          <w:bCs/>
          <w:sz w:val="22"/>
          <w:szCs w:val="22"/>
        </w:rPr>
        <w:t>”). Each Warrant is exercisable by the holder to acquire one Common Share at a price of $0.</w:t>
      </w:r>
      <w:r>
        <w:rPr>
          <w:rFonts w:ascii="Times New Roman" w:hAnsi="Times New Roman" w:cs="Times New Roman"/>
          <w:bCs/>
          <w:sz w:val="22"/>
          <w:szCs w:val="22"/>
        </w:rPr>
        <w:t>40</w:t>
      </w:r>
      <w:r w:rsidRPr="0070601E">
        <w:rPr>
          <w:rFonts w:ascii="Times New Roman" w:hAnsi="Times New Roman" w:cs="Times New Roman"/>
          <w:bCs/>
          <w:sz w:val="22"/>
          <w:szCs w:val="22"/>
        </w:rPr>
        <w:t xml:space="preserve"> per Common Share until </w:t>
      </w:r>
      <w:r w:rsidR="002945DD">
        <w:rPr>
          <w:rFonts w:ascii="Times New Roman" w:hAnsi="Times New Roman" w:cs="Times New Roman"/>
          <w:bCs/>
          <w:sz w:val="22"/>
          <w:szCs w:val="22"/>
        </w:rPr>
        <w:t>November 1</w:t>
      </w:r>
      <w:r>
        <w:rPr>
          <w:rFonts w:ascii="Times New Roman" w:hAnsi="Times New Roman" w:cs="Times New Roman"/>
          <w:bCs/>
          <w:sz w:val="22"/>
          <w:szCs w:val="22"/>
        </w:rPr>
        <w:t>, 2027</w:t>
      </w:r>
      <w:r w:rsidRPr="0070601E">
        <w:rPr>
          <w:rFonts w:ascii="Times New Roman" w:hAnsi="Times New Roman" w:cs="Times New Roman"/>
          <w:bCs/>
          <w:sz w:val="22"/>
          <w:szCs w:val="22"/>
        </w:rPr>
        <w:t>.</w:t>
      </w:r>
      <w:r w:rsidRPr="0070601E">
        <w:rPr>
          <w:rFonts w:ascii="Times New Roman" w:hAnsi="Times New Roman" w:cs="Times New Roman"/>
          <w:sz w:val="22"/>
          <w:szCs w:val="22"/>
          <w:lang w:val="en-US"/>
        </w:rPr>
        <w:t xml:space="preserve"> </w:t>
      </w:r>
    </w:p>
    <w:p w14:paraId="6651AE20" w14:textId="102BE0DA" w:rsidR="0070601E" w:rsidRPr="0070601E" w:rsidRDefault="0070601E" w:rsidP="0070601E">
      <w:pPr>
        <w:spacing w:line="259" w:lineRule="auto"/>
        <w:jc w:val="both"/>
        <w:rPr>
          <w:rFonts w:ascii="Times New Roman" w:hAnsi="Times New Roman" w:cs="Times New Roman"/>
          <w:sz w:val="22"/>
          <w:szCs w:val="22"/>
        </w:rPr>
      </w:pPr>
      <w:r w:rsidRPr="0070601E">
        <w:rPr>
          <w:rFonts w:ascii="Times New Roman" w:hAnsi="Times New Roman" w:cs="Times New Roman"/>
          <w:sz w:val="22"/>
          <w:szCs w:val="22"/>
        </w:rPr>
        <w:t xml:space="preserve">In connection with the </w:t>
      </w:r>
      <w:r w:rsidR="002945DD">
        <w:rPr>
          <w:rFonts w:ascii="Times New Roman" w:hAnsi="Times New Roman" w:cs="Times New Roman"/>
          <w:sz w:val="22"/>
          <w:szCs w:val="22"/>
        </w:rPr>
        <w:t>Offering</w:t>
      </w:r>
      <w:r w:rsidRPr="0070601E">
        <w:rPr>
          <w:rFonts w:ascii="Times New Roman" w:hAnsi="Times New Roman" w:cs="Times New Roman"/>
          <w:sz w:val="22"/>
          <w:szCs w:val="22"/>
        </w:rPr>
        <w:t xml:space="preserve">, the Company paid </w:t>
      </w:r>
      <w:r w:rsidR="00A35682">
        <w:rPr>
          <w:rFonts w:ascii="Times New Roman" w:hAnsi="Times New Roman" w:cs="Times New Roman"/>
          <w:sz w:val="22"/>
          <w:szCs w:val="22"/>
        </w:rPr>
        <w:t xml:space="preserve">approximately </w:t>
      </w:r>
      <w:r w:rsidRPr="0070601E">
        <w:rPr>
          <w:rFonts w:ascii="Times New Roman" w:hAnsi="Times New Roman" w:cs="Times New Roman"/>
          <w:sz w:val="22"/>
          <w:szCs w:val="22"/>
        </w:rPr>
        <w:t>$</w:t>
      </w:r>
      <w:r w:rsidR="00A35682">
        <w:rPr>
          <w:rFonts w:ascii="Times New Roman" w:hAnsi="Times New Roman" w:cs="Times New Roman"/>
          <w:sz w:val="22"/>
          <w:szCs w:val="22"/>
        </w:rPr>
        <w:t>3</w:t>
      </w:r>
      <w:r w:rsidR="002945DD">
        <w:rPr>
          <w:rFonts w:ascii="Times New Roman" w:hAnsi="Times New Roman" w:cs="Times New Roman"/>
          <w:sz w:val="22"/>
          <w:szCs w:val="22"/>
        </w:rPr>
        <w:t>9</w:t>
      </w:r>
      <w:r w:rsidR="00A35682">
        <w:rPr>
          <w:rFonts w:ascii="Times New Roman" w:hAnsi="Times New Roman" w:cs="Times New Roman"/>
          <w:sz w:val="22"/>
          <w:szCs w:val="22"/>
        </w:rPr>
        <w:t>,</w:t>
      </w:r>
      <w:r w:rsidR="002945DD">
        <w:rPr>
          <w:rFonts w:ascii="Times New Roman" w:hAnsi="Times New Roman" w:cs="Times New Roman"/>
          <w:sz w:val="22"/>
          <w:szCs w:val="22"/>
        </w:rPr>
        <w:t>223</w:t>
      </w:r>
      <w:r w:rsidRPr="0070601E">
        <w:rPr>
          <w:rFonts w:ascii="Times New Roman" w:hAnsi="Times New Roman" w:cs="Times New Roman"/>
          <w:sz w:val="22"/>
          <w:szCs w:val="22"/>
        </w:rPr>
        <w:t xml:space="preserve"> to certain eligible finders in consideration for introducing certain purchasers to the Company.</w:t>
      </w:r>
      <w:r w:rsidR="00A35682">
        <w:rPr>
          <w:rFonts w:ascii="Times New Roman" w:hAnsi="Times New Roman" w:cs="Times New Roman"/>
          <w:sz w:val="22"/>
          <w:szCs w:val="22"/>
        </w:rPr>
        <w:t xml:space="preserve"> </w:t>
      </w:r>
    </w:p>
    <w:p w14:paraId="6F8E7487" w14:textId="068AD69A" w:rsidR="0070601E" w:rsidRPr="0070601E" w:rsidRDefault="0070601E" w:rsidP="0070601E">
      <w:pPr>
        <w:spacing w:line="259" w:lineRule="auto"/>
        <w:jc w:val="both"/>
        <w:rPr>
          <w:rFonts w:ascii="Times New Roman" w:hAnsi="Times New Roman" w:cs="Times New Roman"/>
          <w:sz w:val="22"/>
          <w:szCs w:val="22"/>
        </w:rPr>
      </w:pPr>
      <w:r w:rsidRPr="00C003B9">
        <w:rPr>
          <w:rFonts w:ascii="Times New Roman" w:hAnsi="Times New Roman" w:cs="Times New Roman"/>
          <w:sz w:val="22"/>
          <w:szCs w:val="22"/>
        </w:rPr>
        <w:t>The net proceeds from the Offering are expected to be used for the exploration and development of the Company’s mineral projects, future acquisitions, and general working capital purposes.</w:t>
      </w:r>
    </w:p>
    <w:p w14:paraId="179B405F" w14:textId="5D244092" w:rsidR="0070601E" w:rsidRPr="0070601E" w:rsidRDefault="0070601E" w:rsidP="0070601E">
      <w:pPr>
        <w:spacing w:line="259" w:lineRule="auto"/>
        <w:jc w:val="both"/>
        <w:rPr>
          <w:rFonts w:ascii="Times New Roman" w:hAnsi="Times New Roman" w:cs="Times New Roman"/>
          <w:bCs/>
          <w:sz w:val="22"/>
          <w:szCs w:val="22"/>
        </w:rPr>
      </w:pPr>
      <w:r w:rsidRPr="0070601E">
        <w:rPr>
          <w:rFonts w:ascii="Times New Roman" w:hAnsi="Times New Roman" w:cs="Times New Roman"/>
          <w:bCs/>
          <w:sz w:val="22"/>
          <w:szCs w:val="22"/>
        </w:rPr>
        <w:t xml:space="preserve">The Offering remains subject to final acceptance by </w:t>
      </w:r>
      <w:r>
        <w:rPr>
          <w:rFonts w:ascii="Times New Roman" w:hAnsi="Times New Roman" w:cs="Times New Roman"/>
          <w:bCs/>
          <w:sz w:val="22"/>
          <w:szCs w:val="22"/>
        </w:rPr>
        <w:t>the TSX Venture Exchange (the “</w:t>
      </w:r>
      <w:r w:rsidRPr="0070601E">
        <w:rPr>
          <w:rFonts w:ascii="Times New Roman" w:hAnsi="Times New Roman" w:cs="Times New Roman"/>
          <w:b/>
          <w:sz w:val="22"/>
          <w:szCs w:val="22"/>
        </w:rPr>
        <w:t>TSXV</w:t>
      </w:r>
      <w:r>
        <w:rPr>
          <w:rFonts w:ascii="Times New Roman" w:hAnsi="Times New Roman" w:cs="Times New Roman"/>
          <w:bCs/>
          <w:sz w:val="22"/>
          <w:szCs w:val="22"/>
        </w:rPr>
        <w:t>”)</w:t>
      </w:r>
      <w:r w:rsidRPr="0070601E">
        <w:rPr>
          <w:rFonts w:ascii="Times New Roman" w:hAnsi="Times New Roman" w:cs="Times New Roman"/>
          <w:bCs/>
          <w:sz w:val="22"/>
          <w:szCs w:val="22"/>
        </w:rPr>
        <w:t xml:space="preserve"> and all regulatory approvals.</w:t>
      </w:r>
    </w:p>
    <w:p w14:paraId="09BD4587" w14:textId="7C9FC5AF" w:rsidR="00CD36A3" w:rsidRPr="00CD36A3" w:rsidRDefault="0070601E" w:rsidP="00C57681">
      <w:pPr>
        <w:spacing w:line="259" w:lineRule="auto"/>
        <w:jc w:val="both"/>
        <w:rPr>
          <w:rFonts w:ascii="Times New Roman" w:eastAsia="Arial" w:hAnsi="Times New Roman" w:cs="Times New Roman"/>
          <w:bCs/>
          <w:kern w:val="0"/>
          <w:sz w:val="22"/>
          <w:szCs w:val="18"/>
          <w14:ligatures w14:val="none"/>
        </w:rPr>
      </w:pPr>
      <w:r w:rsidRPr="006C7C27">
        <w:rPr>
          <w:rFonts w:ascii="Times New Roman" w:eastAsia="Arial" w:hAnsi="Times New Roman" w:cs="Times New Roman"/>
          <w:bCs/>
          <w:kern w:val="0"/>
          <w:sz w:val="22"/>
          <w:szCs w:val="18"/>
          <w14:ligatures w14:val="none"/>
        </w:rPr>
        <w:t>All securities issued pursuant to the Offering will be subject to a statutory hold period of four months and one day from the date of closing, in accordance with applicable securities laws.</w:t>
      </w:r>
    </w:p>
    <w:p w14:paraId="71C88936" w14:textId="3EFFDF35" w:rsidR="006C7C27" w:rsidRPr="00CD36A3" w:rsidRDefault="00CD36A3" w:rsidP="00C003B9">
      <w:pPr>
        <w:spacing w:line="259" w:lineRule="auto"/>
        <w:jc w:val="both"/>
        <w:rPr>
          <w:rFonts w:ascii="Times New Roman" w:eastAsia="Arial" w:hAnsi="Times New Roman" w:cs="Times New Roman"/>
          <w:bCs/>
          <w:kern w:val="0"/>
          <w:sz w:val="22"/>
          <w:szCs w:val="18"/>
          <w14:ligatures w14:val="none"/>
        </w:rPr>
      </w:pPr>
      <w:r w:rsidRPr="006C7C27">
        <w:rPr>
          <w:rFonts w:ascii="Times New Roman" w:eastAsia="Arial" w:hAnsi="Times New Roman" w:cs="Times New Roman"/>
          <w:bCs/>
          <w:kern w:val="0"/>
          <w:sz w:val="22"/>
          <w:szCs w:val="18"/>
          <w14:ligatures w14:val="none"/>
        </w:rPr>
        <w:t xml:space="preserve">The securities to be issued pursuant to the Offering have not been registered under the U.S. Securities Act of 1933, as amended, and may not be offered or sold in the United States absent registration or an applicable exemption from the registration requirements. This release does not constitute an offer to sell or a solicitation of an offer to buy of any securities in the United States. </w:t>
      </w:r>
    </w:p>
    <w:p w14:paraId="06D50484" w14:textId="2DD916AA"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color w:val="000000"/>
          <w:kern w:val="0"/>
          <w:sz w:val="22"/>
          <w:szCs w:val="22"/>
          <w:lang w:val="en-GB" w:eastAsia="en-GB"/>
          <w14:ligatures w14:val="none"/>
        </w:rPr>
        <w:t>On Behalf of the Board,</w:t>
      </w:r>
    </w:p>
    <w:p w14:paraId="351ADF2C" w14:textId="77777777" w:rsidR="00951A0B" w:rsidRPr="00C003B9" w:rsidRDefault="00951A0B" w:rsidP="00C133BA">
      <w:pPr>
        <w:shd w:val="clear" w:color="auto" w:fill="FFFFFF"/>
        <w:spacing w:after="0" w:line="240" w:lineRule="auto"/>
        <w:rPr>
          <w:rFonts w:ascii="Times New Roman" w:eastAsia="Times New Roman" w:hAnsi="Times New Roman" w:cs="Times New Roman"/>
          <w:b/>
          <w:bCs/>
          <w:color w:val="000000"/>
          <w:kern w:val="0"/>
          <w:sz w:val="22"/>
          <w:szCs w:val="22"/>
          <w:lang w:val="en-GB" w:eastAsia="en-GB"/>
          <w14:ligatures w14:val="none"/>
        </w:rPr>
      </w:pPr>
      <w:r w:rsidRPr="00C003B9">
        <w:rPr>
          <w:rFonts w:ascii="Times New Roman" w:eastAsia="Times New Roman" w:hAnsi="Times New Roman" w:cs="Times New Roman"/>
          <w:b/>
          <w:bCs/>
          <w:color w:val="000000"/>
          <w:kern w:val="0"/>
          <w:sz w:val="22"/>
          <w:szCs w:val="22"/>
          <w:lang w:val="en-GB" w:eastAsia="en-GB"/>
          <w14:ligatures w14:val="none"/>
        </w:rPr>
        <w:t>Tajiri Resources Corp.</w:t>
      </w:r>
    </w:p>
    <w:p w14:paraId="62F05CB2" w14:textId="77777777"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p>
    <w:p w14:paraId="3A20FDF8" w14:textId="77777777" w:rsidR="00951A0B" w:rsidRPr="00C003B9" w:rsidRDefault="00951A0B" w:rsidP="00C133BA">
      <w:pPr>
        <w:shd w:val="clear" w:color="auto" w:fill="FFFFFF"/>
        <w:spacing w:after="0" w:line="240" w:lineRule="auto"/>
        <w:rPr>
          <w:rFonts w:ascii="Times New Roman" w:eastAsia="Times New Roman" w:hAnsi="Times New Roman" w:cs="Times New Roman"/>
          <w:b/>
          <w:bCs/>
          <w:i/>
          <w:iCs/>
          <w:color w:val="000000"/>
          <w:kern w:val="0"/>
          <w:sz w:val="22"/>
          <w:szCs w:val="22"/>
          <w:lang w:val="en-GB" w:eastAsia="en-GB"/>
          <w14:ligatures w14:val="none"/>
        </w:rPr>
      </w:pPr>
      <w:r w:rsidRPr="00C003B9">
        <w:rPr>
          <w:rFonts w:ascii="Times New Roman" w:eastAsia="Times New Roman" w:hAnsi="Times New Roman" w:cs="Times New Roman"/>
          <w:b/>
          <w:bCs/>
          <w:i/>
          <w:iCs/>
          <w:color w:val="000000"/>
          <w:kern w:val="0"/>
          <w:sz w:val="22"/>
          <w:szCs w:val="22"/>
          <w:lang w:val="en-GB" w:eastAsia="en-GB"/>
          <w14:ligatures w14:val="none"/>
        </w:rPr>
        <w:t>Graham Keevil,</w:t>
      </w:r>
    </w:p>
    <w:p w14:paraId="0BEA40CB" w14:textId="3544D2EE" w:rsidR="002B3992" w:rsidRDefault="00951A0B" w:rsidP="006C7C27">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color w:val="000000"/>
          <w:kern w:val="0"/>
          <w:sz w:val="22"/>
          <w:szCs w:val="22"/>
          <w:lang w:val="en-GB" w:eastAsia="en-GB"/>
          <w14:ligatures w14:val="none"/>
        </w:rPr>
        <w:t>President &amp; CEO</w:t>
      </w:r>
    </w:p>
    <w:p w14:paraId="7E4F3E0E" w14:textId="77777777" w:rsidR="006C7C27" w:rsidRPr="006C7C27" w:rsidRDefault="006C7C27" w:rsidP="006C7C27">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p>
    <w:p w14:paraId="1B35AF25" w14:textId="5376B428" w:rsidR="00951A0B" w:rsidRPr="00C003B9" w:rsidRDefault="00951A0B" w:rsidP="00C133BA">
      <w:pPr>
        <w:spacing w:line="259" w:lineRule="auto"/>
        <w:jc w:val="both"/>
        <w:rPr>
          <w:rFonts w:ascii="Times New Roman" w:eastAsia="Aptos" w:hAnsi="Times New Roman" w:cs="Times New Roman"/>
          <w:b/>
          <w:bCs/>
          <w:i/>
          <w:iCs/>
          <w:color w:val="000000"/>
          <w:sz w:val="22"/>
          <w:szCs w:val="22"/>
          <w:lang w:val="en-GB"/>
        </w:rPr>
      </w:pPr>
      <w:r w:rsidRPr="00C003B9">
        <w:rPr>
          <w:rFonts w:ascii="Times New Roman" w:eastAsia="Aptos" w:hAnsi="Times New Roman" w:cs="Times New Roman"/>
          <w:b/>
          <w:bCs/>
          <w:i/>
          <w:iCs/>
          <w:color w:val="000000"/>
          <w:sz w:val="22"/>
          <w:szCs w:val="22"/>
          <w:lang w:val="en-GB"/>
        </w:rPr>
        <w:t>About Tajiri</w:t>
      </w:r>
    </w:p>
    <w:p w14:paraId="3504E0AA" w14:textId="219A075C" w:rsidR="00951A0B" w:rsidRPr="00C003B9" w:rsidRDefault="006579CA" w:rsidP="00FA52A5">
      <w:pPr>
        <w:jc w:val="both"/>
        <w:rPr>
          <w:rFonts w:ascii="Times New Roman" w:eastAsia="Aptos" w:hAnsi="Times New Roman" w:cs="Times New Roman"/>
          <w:i/>
          <w:iCs/>
          <w:color w:val="000000"/>
          <w:sz w:val="22"/>
          <w:szCs w:val="22"/>
          <w:lang w:val="en-GB"/>
        </w:rPr>
      </w:pPr>
      <w:r w:rsidRPr="00C003B9">
        <w:rPr>
          <w:rFonts w:ascii="Times New Roman" w:hAnsi="Times New Roman" w:cs="Times New Roman"/>
          <w:i/>
          <w:iCs/>
          <w:color w:val="000000" w:themeColor="text1"/>
          <w:sz w:val="22"/>
          <w:szCs w:val="22"/>
        </w:rPr>
        <w:t xml:space="preserve">Tajiri Resources Corp. is a junior gold exploration and development Company with exploration assets located in the emerging premier gold destination of Guyana, South America. Lead by a team of industry professionals with a combined 100 plus years’ experience - 40 of that in Guyana; and a track record of discovering ~20 million ounces of gold across Western Australia, West Africa and Guyana- the Company’s goal is to create value through exploration and discovery. </w:t>
      </w:r>
    </w:p>
    <w:p w14:paraId="7084DA55" w14:textId="77777777" w:rsidR="002945DD" w:rsidRDefault="002945DD" w:rsidP="00C133BA">
      <w:pPr>
        <w:shd w:val="clear" w:color="auto" w:fill="FFFFFF"/>
        <w:spacing w:after="0" w:line="240" w:lineRule="auto"/>
        <w:rPr>
          <w:rFonts w:ascii="Times New Roman" w:eastAsia="Times New Roman" w:hAnsi="Times New Roman" w:cs="Times New Roman"/>
          <w:b/>
          <w:bCs/>
          <w:color w:val="000000"/>
          <w:kern w:val="0"/>
          <w:sz w:val="22"/>
          <w:szCs w:val="22"/>
          <w:lang w:val="en-GB" w:eastAsia="en-GB"/>
          <w14:ligatures w14:val="none"/>
        </w:rPr>
      </w:pPr>
    </w:p>
    <w:p w14:paraId="5451FD12" w14:textId="77777777" w:rsidR="002945DD" w:rsidRDefault="002945DD" w:rsidP="00C133BA">
      <w:pPr>
        <w:shd w:val="clear" w:color="auto" w:fill="FFFFFF"/>
        <w:spacing w:after="0" w:line="240" w:lineRule="auto"/>
        <w:rPr>
          <w:rFonts w:ascii="Times New Roman" w:eastAsia="Times New Roman" w:hAnsi="Times New Roman" w:cs="Times New Roman"/>
          <w:b/>
          <w:bCs/>
          <w:color w:val="000000"/>
          <w:kern w:val="0"/>
          <w:sz w:val="22"/>
          <w:szCs w:val="22"/>
          <w:lang w:val="en-GB" w:eastAsia="en-GB"/>
          <w14:ligatures w14:val="none"/>
        </w:rPr>
      </w:pPr>
    </w:p>
    <w:p w14:paraId="3F4CE96B" w14:textId="77777777" w:rsidR="002945DD" w:rsidRDefault="002945DD" w:rsidP="00C133BA">
      <w:pPr>
        <w:shd w:val="clear" w:color="auto" w:fill="FFFFFF"/>
        <w:spacing w:after="0" w:line="240" w:lineRule="auto"/>
        <w:rPr>
          <w:rFonts w:ascii="Times New Roman" w:eastAsia="Times New Roman" w:hAnsi="Times New Roman" w:cs="Times New Roman"/>
          <w:b/>
          <w:bCs/>
          <w:color w:val="000000"/>
          <w:kern w:val="0"/>
          <w:sz w:val="22"/>
          <w:szCs w:val="22"/>
          <w:lang w:val="en-GB" w:eastAsia="en-GB"/>
          <w14:ligatures w14:val="none"/>
        </w:rPr>
      </w:pPr>
    </w:p>
    <w:p w14:paraId="172B9A59" w14:textId="68668017"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b/>
          <w:bCs/>
          <w:color w:val="000000"/>
          <w:kern w:val="0"/>
          <w:sz w:val="22"/>
          <w:szCs w:val="22"/>
          <w:lang w:val="en-GB" w:eastAsia="en-GB"/>
          <w14:ligatures w14:val="none"/>
        </w:rPr>
        <w:lastRenderedPageBreak/>
        <w:t>Contact Information:</w:t>
      </w:r>
    </w:p>
    <w:p w14:paraId="1CE17107" w14:textId="77777777" w:rsidR="00522B61" w:rsidRDefault="00951A0B" w:rsidP="00C133BA">
      <w:pPr>
        <w:spacing w:after="0"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color w:val="000000"/>
          <w:sz w:val="22"/>
          <w:szCs w:val="22"/>
          <w:lang w:val="en-GB"/>
        </w:rPr>
        <w:t>Tajiri Resources Corp.</w:t>
      </w:r>
      <w:r w:rsidRPr="00C003B9">
        <w:rPr>
          <w:rFonts w:ascii="Times New Roman" w:eastAsia="Aptos" w:hAnsi="Times New Roman" w:cs="Times New Roman"/>
          <w:color w:val="000000"/>
          <w:sz w:val="22"/>
          <w:szCs w:val="22"/>
          <w:lang w:val="en-GB"/>
        </w:rPr>
        <w:br/>
        <w:t>Graham Keevil</w:t>
      </w:r>
      <w:r w:rsidRPr="00C003B9">
        <w:rPr>
          <w:rFonts w:ascii="Times New Roman" w:eastAsia="Aptos" w:hAnsi="Times New Roman" w:cs="Times New Roman"/>
          <w:color w:val="000000"/>
          <w:sz w:val="22"/>
          <w:szCs w:val="22"/>
          <w:lang w:val="en-GB"/>
        </w:rPr>
        <w:br/>
        <w:t>President, CEO</w:t>
      </w:r>
    </w:p>
    <w:p w14:paraId="7ECD11D5" w14:textId="5F92C6CC" w:rsidR="00951A0B" w:rsidRPr="00C003B9" w:rsidRDefault="00951A0B" w:rsidP="00C133BA">
      <w:pPr>
        <w:spacing w:after="0"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color w:val="000000"/>
          <w:sz w:val="22"/>
          <w:szCs w:val="22"/>
          <w:lang w:val="en-GB"/>
        </w:rPr>
        <w:br/>
        <w:t>778-229-9602</w:t>
      </w:r>
      <w:r w:rsidRPr="00C003B9">
        <w:rPr>
          <w:rFonts w:ascii="Times New Roman" w:eastAsia="Aptos" w:hAnsi="Times New Roman" w:cs="Times New Roman"/>
          <w:color w:val="000000"/>
          <w:sz w:val="22"/>
          <w:szCs w:val="22"/>
          <w:lang w:val="en-GB"/>
        </w:rPr>
        <w:br/>
      </w:r>
      <w:hyperlink r:id="rId9" w:history="1">
        <w:r w:rsidRPr="00C003B9">
          <w:rPr>
            <w:rFonts w:ascii="Times New Roman" w:eastAsia="Aptos" w:hAnsi="Times New Roman" w:cs="Times New Roman"/>
            <w:color w:val="000000"/>
            <w:sz w:val="22"/>
            <w:szCs w:val="22"/>
            <w:u w:val="single"/>
            <w:lang w:val="en-GB"/>
          </w:rPr>
          <w:t>graham@tajirigold.com</w:t>
        </w:r>
      </w:hyperlink>
    </w:p>
    <w:p w14:paraId="1C321FDA" w14:textId="77777777" w:rsidR="00951A0B" w:rsidRPr="00C003B9" w:rsidRDefault="00951A0B" w:rsidP="00C133BA">
      <w:pPr>
        <w:spacing w:line="259" w:lineRule="auto"/>
        <w:rPr>
          <w:rFonts w:ascii="Times New Roman" w:eastAsia="Aptos" w:hAnsi="Times New Roman" w:cs="Times New Roman"/>
          <w:color w:val="000000"/>
          <w:sz w:val="22"/>
          <w:szCs w:val="22"/>
          <w:u w:val="single"/>
          <w:lang w:val="en-GB"/>
        </w:rPr>
      </w:pPr>
      <w:hyperlink r:id="rId10" w:history="1">
        <w:r w:rsidRPr="00C003B9">
          <w:rPr>
            <w:rFonts w:ascii="Times New Roman" w:eastAsia="Aptos" w:hAnsi="Times New Roman" w:cs="Times New Roman"/>
            <w:color w:val="000000"/>
            <w:sz w:val="22"/>
            <w:szCs w:val="22"/>
            <w:u w:val="single"/>
            <w:lang w:val="en-GB"/>
          </w:rPr>
          <w:t>www.tajirigold.com</w:t>
        </w:r>
      </w:hyperlink>
    </w:p>
    <w:p w14:paraId="49FCB141" w14:textId="77777777" w:rsidR="00951A0B" w:rsidRPr="00C003B9" w:rsidRDefault="00951A0B" w:rsidP="00C133BA">
      <w:pPr>
        <w:spacing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b/>
          <w:bCs/>
          <w:color w:val="000000"/>
          <w:sz w:val="22"/>
          <w:szCs w:val="22"/>
          <w:lang w:val="en-GB"/>
        </w:rPr>
        <w:t>Forward-Looking Statements</w:t>
      </w:r>
    </w:p>
    <w:p w14:paraId="3CA320BA" w14:textId="190AD624"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This news release contains “forward‑looking information” and “forward‑looking statements” (collectively, “</w:t>
      </w:r>
      <w:r w:rsidRPr="00C003B9">
        <w:rPr>
          <w:rFonts w:ascii="Times New Roman" w:eastAsia="Aptos" w:hAnsi="Times New Roman" w:cs="Times New Roman"/>
          <w:b/>
          <w:bCs/>
          <w:color w:val="000000"/>
          <w:sz w:val="22"/>
          <w:szCs w:val="22"/>
        </w:rPr>
        <w:t>forward‑looking statements</w:t>
      </w:r>
      <w:r w:rsidRPr="00C003B9">
        <w:rPr>
          <w:rFonts w:ascii="Times New Roman" w:eastAsia="Aptos" w:hAnsi="Times New Roman" w:cs="Times New Roman"/>
          <w:color w:val="000000"/>
          <w:sz w:val="22"/>
          <w:szCs w:val="22"/>
        </w:rPr>
        <w:t>”) within the meaning of applicable Canadian securities legislation. All statements, other than statements of historical fact, are forward‑looking statements and are based on expectations, estimates and projections as at the date of this news release, including, without limitation, statements with respect to the receipt of required regulatory approvals (including approval of the TSXV), the anticipated use of proceeds of the Offering</w:t>
      </w:r>
      <w:r w:rsidR="0028134D" w:rsidRPr="0028134D">
        <w:t xml:space="preserve"> </w:t>
      </w:r>
      <w:r w:rsidRPr="00C003B9">
        <w:rPr>
          <w:rFonts w:ascii="Times New Roman" w:eastAsia="Aptos" w:hAnsi="Times New Roman" w:cs="Times New Roman"/>
          <w:color w:val="000000"/>
          <w:sz w:val="22"/>
          <w:szCs w:val="22"/>
        </w:rPr>
        <w:t>and the Company’s future plans and objectives.</w:t>
      </w:r>
    </w:p>
    <w:p w14:paraId="592B4D32" w14:textId="77777777"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Any statement that involves discussions with respect to predictions, expectations, beliefs, plans, projections, objectives, assumptions, future events or performance (often but not always using phrases such as “expects”, “does not expect”, “is expected”, “anticipates” or “does not anticipate”, “plans”, “budget”, “scheduled”, “forecasts”, “estimates”, “believes” or “intends” or variations of such words and phrases, or stating that certain actions, events or results “may”, “could”, “would”, “might” or “will” be taken, occur or be achieved) are not statements of historical fact and may be forward‑looking statements.</w:t>
      </w:r>
    </w:p>
    <w:p w14:paraId="6D3D57E5" w14:textId="77777777"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Forward‑looking statements contained herein are made as of the date of this press release, and the Company disclaims, except as required by law, any obligation to update any forward‑looking statements whether as a result of new information, future events or otherwise. There can be no assurance that forward‑looking statements will prove to be accurate, as actual results and future events could differ materially from those anticipated in such statements. Accordingly, readers are cautioned not to place undue reliance on forward‑looking statements.</w:t>
      </w:r>
    </w:p>
    <w:p w14:paraId="3B5F025F" w14:textId="185698B3" w:rsidR="00951A0B" w:rsidRPr="00C003B9" w:rsidRDefault="00047EF9" w:rsidP="00C133BA">
      <w:pPr>
        <w:spacing w:line="259" w:lineRule="auto"/>
        <w:jc w:val="both"/>
        <w:rPr>
          <w:rFonts w:ascii="Times New Roman" w:eastAsia="Aptos" w:hAnsi="Times New Roman" w:cs="Times New Roman"/>
          <w:sz w:val="22"/>
          <w:szCs w:val="22"/>
          <w:lang w:val="en-GB"/>
        </w:rPr>
      </w:pPr>
      <w:r w:rsidRPr="00C003B9">
        <w:rPr>
          <w:rFonts w:ascii="Times New Roman" w:eastAsia="Aptos" w:hAnsi="Times New Roman" w:cs="Times New Roman"/>
          <w:color w:val="000000"/>
          <w:sz w:val="22"/>
          <w:szCs w:val="22"/>
        </w:rPr>
        <w:t>Neither the TSXV nor its Regulation Services Provider (as that term is defined in the policies of the TSXV) accepts responsibility for the adequacy or accuracy of this release.</w:t>
      </w:r>
      <w:r w:rsidR="00951A0B" w:rsidRPr="00C003B9">
        <w:rPr>
          <w:rFonts w:ascii="Times New Roman" w:eastAsia="Aptos" w:hAnsi="Times New Roman" w:cs="Times New Roman"/>
          <w:sz w:val="22"/>
          <w:szCs w:val="22"/>
          <w:lang w:val="en-GB"/>
        </w:rPr>
        <w:br/>
      </w:r>
    </w:p>
    <w:p w14:paraId="12A1A888" w14:textId="77777777" w:rsidR="008D6088" w:rsidRPr="00C003B9" w:rsidRDefault="008D6088" w:rsidP="00951A0B">
      <w:pPr>
        <w:tabs>
          <w:tab w:val="left" w:pos="2310"/>
        </w:tabs>
        <w:rPr>
          <w:rFonts w:ascii="Times New Roman" w:hAnsi="Times New Roman" w:cs="Times New Roman"/>
          <w:b/>
          <w:bCs/>
          <w:sz w:val="22"/>
          <w:szCs w:val="22"/>
        </w:rPr>
      </w:pPr>
    </w:p>
    <w:sectPr w:rsidR="008D6088" w:rsidRPr="00C003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95D5" w14:textId="77777777" w:rsidR="007D6379" w:rsidRDefault="007D6379" w:rsidP="00951A0B">
      <w:pPr>
        <w:spacing w:after="0" w:line="240" w:lineRule="auto"/>
      </w:pPr>
      <w:r>
        <w:separator/>
      </w:r>
    </w:p>
  </w:endnote>
  <w:endnote w:type="continuationSeparator" w:id="0">
    <w:p w14:paraId="261E5A6E" w14:textId="77777777" w:rsidR="007D6379" w:rsidRDefault="007D6379" w:rsidP="0095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E742" w14:textId="77777777" w:rsidR="00951A0B" w:rsidRDefault="0095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4ACF" w14:textId="77777777" w:rsidR="00951A0B" w:rsidRDefault="00951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AA9F" w14:textId="77777777" w:rsidR="00951A0B" w:rsidRDefault="0095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4212" w14:textId="77777777" w:rsidR="007D6379" w:rsidRDefault="007D6379" w:rsidP="00951A0B">
      <w:pPr>
        <w:spacing w:after="0" w:line="240" w:lineRule="auto"/>
      </w:pPr>
      <w:r>
        <w:separator/>
      </w:r>
    </w:p>
  </w:footnote>
  <w:footnote w:type="continuationSeparator" w:id="0">
    <w:p w14:paraId="11CE2A31" w14:textId="77777777" w:rsidR="007D6379" w:rsidRDefault="007D6379" w:rsidP="0095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E427" w14:textId="77777777" w:rsidR="00951A0B" w:rsidRDefault="0095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F4D" w14:textId="77777777" w:rsidR="00951A0B" w:rsidRDefault="00951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C545" w14:textId="77777777" w:rsidR="00951A0B" w:rsidRDefault="00951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3511"/>
    <w:multiLevelType w:val="multilevel"/>
    <w:tmpl w:val="FB5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42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88"/>
    <w:rsid w:val="00047EF9"/>
    <w:rsid w:val="000707A3"/>
    <w:rsid w:val="000A0775"/>
    <w:rsid w:val="00102457"/>
    <w:rsid w:val="0012201A"/>
    <w:rsid w:val="00133918"/>
    <w:rsid w:val="0028134D"/>
    <w:rsid w:val="002945DD"/>
    <w:rsid w:val="002A4328"/>
    <w:rsid w:val="002B3992"/>
    <w:rsid w:val="002E1B7A"/>
    <w:rsid w:val="002E1CD4"/>
    <w:rsid w:val="0030105F"/>
    <w:rsid w:val="00330848"/>
    <w:rsid w:val="003740B6"/>
    <w:rsid w:val="003A0329"/>
    <w:rsid w:val="003B62DD"/>
    <w:rsid w:val="0047659F"/>
    <w:rsid w:val="00484753"/>
    <w:rsid w:val="00522B61"/>
    <w:rsid w:val="005255B1"/>
    <w:rsid w:val="00531691"/>
    <w:rsid w:val="00547150"/>
    <w:rsid w:val="0057053C"/>
    <w:rsid w:val="00570D07"/>
    <w:rsid w:val="00577904"/>
    <w:rsid w:val="005B25A2"/>
    <w:rsid w:val="005B3404"/>
    <w:rsid w:val="005D6FE8"/>
    <w:rsid w:val="005F6D58"/>
    <w:rsid w:val="00612D74"/>
    <w:rsid w:val="00646A58"/>
    <w:rsid w:val="006579CA"/>
    <w:rsid w:val="006C7C27"/>
    <w:rsid w:val="0070601E"/>
    <w:rsid w:val="00742E82"/>
    <w:rsid w:val="00790CC3"/>
    <w:rsid w:val="007D6379"/>
    <w:rsid w:val="00806BD7"/>
    <w:rsid w:val="00872C08"/>
    <w:rsid w:val="00882785"/>
    <w:rsid w:val="008D6088"/>
    <w:rsid w:val="009129CF"/>
    <w:rsid w:val="009305C2"/>
    <w:rsid w:val="00951A0B"/>
    <w:rsid w:val="00983278"/>
    <w:rsid w:val="009B07E6"/>
    <w:rsid w:val="009E03D0"/>
    <w:rsid w:val="00A26EBC"/>
    <w:rsid w:val="00A35682"/>
    <w:rsid w:val="00AB5C21"/>
    <w:rsid w:val="00AC6A47"/>
    <w:rsid w:val="00AE0AA2"/>
    <w:rsid w:val="00B509F3"/>
    <w:rsid w:val="00BA37DA"/>
    <w:rsid w:val="00C003B9"/>
    <w:rsid w:val="00C133BA"/>
    <w:rsid w:val="00C53DED"/>
    <w:rsid w:val="00C55EFA"/>
    <w:rsid w:val="00C57681"/>
    <w:rsid w:val="00C72E72"/>
    <w:rsid w:val="00C74515"/>
    <w:rsid w:val="00CB3817"/>
    <w:rsid w:val="00CD36A3"/>
    <w:rsid w:val="00D04134"/>
    <w:rsid w:val="00D16E0F"/>
    <w:rsid w:val="00D17B2B"/>
    <w:rsid w:val="00D76B5A"/>
    <w:rsid w:val="00E46F42"/>
    <w:rsid w:val="00E47BD5"/>
    <w:rsid w:val="00E700F3"/>
    <w:rsid w:val="00EC1D6A"/>
    <w:rsid w:val="00F233ED"/>
    <w:rsid w:val="00F83DAE"/>
    <w:rsid w:val="00FA52A5"/>
    <w:rsid w:val="00FB78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B1FF"/>
  <w15:chartTrackingRefBased/>
  <w15:docId w15:val="{08162C4F-E10B-4ACF-8E7C-AE8E3D3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88"/>
    <w:rPr>
      <w:rFonts w:eastAsiaTheme="majorEastAsia" w:cstheme="majorBidi"/>
      <w:color w:val="272727" w:themeColor="text1" w:themeTint="D8"/>
    </w:rPr>
  </w:style>
  <w:style w:type="paragraph" w:styleId="Title">
    <w:name w:val="Title"/>
    <w:basedOn w:val="Normal"/>
    <w:next w:val="Normal"/>
    <w:link w:val="TitleChar"/>
    <w:uiPriority w:val="10"/>
    <w:qFormat/>
    <w:rsid w:val="008D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88"/>
    <w:pPr>
      <w:spacing w:before="160"/>
      <w:jc w:val="center"/>
    </w:pPr>
    <w:rPr>
      <w:i/>
      <w:iCs/>
      <w:color w:val="404040" w:themeColor="text1" w:themeTint="BF"/>
    </w:rPr>
  </w:style>
  <w:style w:type="character" w:customStyle="1" w:styleId="QuoteChar">
    <w:name w:val="Quote Char"/>
    <w:basedOn w:val="DefaultParagraphFont"/>
    <w:link w:val="Quote"/>
    <w:uiPriority w:val="29"/>
    <w:rsid w:val="008D6088"/>
    <w:rPr>
      <w:i/>
      <w:iCs/>
      <w:color w:val="404040" w:themeColor="text1" w:themeTint="BF"/>
    </w:rPr>
  </w:style>
  <w:style w:type="paragraph" w:styleId="ListParagraph">
    <w:name w:val="List Paragraph"/>
    <w:basedOn w:val="Normal"/>
    <w:uiPriority w:val="34"/>
    <w:qFormat/>
    <w:rsid w:val="008D6088"/>
    <w:pPr>
      <w:ind w:left="720"/>
      <w:contextualSpacing/>
    </w:pPr>
  </w:style>
  <w:style w:type="character" w:styleId="IntenseEmphasis">
    <w:name w:val="Intense Emphasis"/>
    <w:basedOn w:val="DefaultParagraphFont"/>
    <w:uiPriority w:val="21"/>
    <w:qFormat/>
    <w:rsid w:val="008D6088"/>
    <w:rPr>
      <w:i/>
      <w:iCs/>
      <w:color w:val="0F4761" w:themeColor="accent1" w:themeShade="BF"/>
    </w:rPr>
  </w:style>
  <w:style w:type="paragraph" w:styleId="IntenseQuote">
    <w:name w:val="Intense Quote"/>
    <w:basedOn w:val="Normal"/>
    <w:next w:val="Normal"/>
    <w:link w:val="IntenseQuoteChar"/>
    <w:uiPriority w:val="30"/>
    <w:qFormat/>
    <w:rsid w:val="008D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088"/>
    <w:rPr>
      <w:i/>
      <w:iCs/>
      <w:color w:val="0F4761" w:themeColor="accent1" w:themeShade="BF"/>
    </w:rPr>
  </w:style>
  <w:style w:type="character" w:styleId="IntenseReference">
    <w:name w:val="Intense Reference"/>
    <w:basedOn w:val="DefaultParagraphFont"/>
    <w:uiPriority w:val="32"/>
    <w:qFormat/>
    <w:rsid w:val="008D6088"/>
    <w:rPr>
      <w:b/>
      <w:bCs/>
      <w:smallCaps/>
      <w:color w:val="0F4761" w:themeColor="accent1" w:themeShade="BF"/>
      <w:spacing w:val="5"/>
    </w:rPr>
  </w:style>
  <w:style w:type="paragraph" w:styleId="Header">
    <w:name w:val="header"/>
    <w:basedOn w:val="Normal"/>
    <w:link w:val="HeaderChar"/>
    <w:uiPriority w:val="99"/>
    <w:unhideWhenUsed/>
    <w:rsid w:val="00951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0B"/>
  </w:style>
  <w:style w:type="paragraph" w:styleId="Footer">
    <w:name w:val="footer"/>
    <w:basedOn w:val="Normal"/>
    <w:link w:val="FooterChar"/>
    <w:uiPriority w:val="99"/>
    <w:unhideWhenUsed/>
    <w:rsid w:val="00951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0B"/>
  </w:style>
  <w:style w:type="paragraph" w:styleId="FootnoteText">
    <w:name w:val="footnote text"/>
    <w:basedOn w:val="Normal"/>
    <w:link w:val="FootnoteTextChar"/>
    <w:uiPriority w:val="99"/>
    <w:unhideWhenUsed/>
    <w:rsid w:val="00951A0B"/>
    <w:pPr>
      <w:spacing w:after="0" w:line="240" w:lineRule="auto"/>
    </w:pPr>
    <w:rPr>
      <w:sz w:val="20"/>
      <w:szCs w:val="20"/>
    </w:rPr>
  </w:style>
  <w:style w:type="character" w:customStyle="1" w:styleId="FootnoteTextChar">
    <w:name w:val="Footnote Text Char"/>
    <w:basedOn w:val="DefaultParagraphFont"/>
    <w:link w:val="FootnoteText"/>
    <w:uiPriority w:val="99"/>
    <w:rsid w:val="00951A0B"/>
    <w:rPr>
      <w:sz w:val="20"/>
      <w:szCs w:val="20"/>
    </w:rPr>
  </w:style>
  <w:style w:type="character" w:styleId="FootnoteReference">
    <w:name w:val="footnote reference"/>
    <w:basedOn w:val="DefaultParagraphFont"/>
    <w:uiPriority w:val="99"/>
    <w:semiHidden/>
    <w:unhideWhenUsed/>
    <w:rsid w:val="00951A0B"/>
    <w:rPr>
      <w:vertAlign w:val="superscript"/>
    </w:rPr>
  </w:style>
  <w:style w:type="character" w:styleId="Strong">
    <w:name w:val="Strong"/>
    <w:basedOn w:val="DefaultParagraphFont"/>
    <w:uiPriority w:val="22"/>
    <w:qFormat/>
    <w:rsid w:val="006579CA"/>
    <w:rPr>
      <w:b/>
      <w:bCs/>
    </w:rPr>
  </w:style>
  <w:style w:type="paragraph" w:styleId="Revision">
    <w:name w:val="Revision"/>
    <w:hidden/>
    <w:uiPriority w:val="99"/>
    <w:semiHidden/>
    <w:rsid w:val="00806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6649">
      <w:bodyDiv w:val="1"/>
      <w:marLeft w:val="0"/>
      <w:marRight w:val="0"/>
      <w:marTop w:val="0"/>
      <w:marBottom w:val="0"/>
      <w:divBdr>
        <w:top w:val="none" w:sz="0" w:space="0" w:color="auto"/>
        <w:left w:val="none" w:sz="0" w:space="0" w:color="auto"/>
        <w:bottom w:val="none" w:sz="0" w:space="0" w:color="auto"/>
        <w:right w:val="none" w:sz="0" w:space="0" w:color="auto"/>
      </w:divBdr>
    </w:div>
    <w:div w:id="561716768">
      <w:bodyDiv w:val="1"/>
      <w:marLeft w:val="0"/>
      <w:marRight w:val="0"/>
      <w:marTop w:val="0"/>
      <w:marBottom w:val="0"/>
      <w:divBdr>
        <w:top w:val="none" w:sz="0" w:space="0" w:color="auto"/>
        <w:left w:val="none" w:sz="0" w:space="0" w:color="auto"/>
        <w:bottom w:val="none" w:sz="0" w:space="0" w:color="auto"/>
        <w:right w:val="none" w:sz="0" w:space="0" w:color="auto"/>
      </w:divBdr>
    </w:div>
    <w:div w:id="901720487">
      <w:bodyDiv w:val="1"/>
      <w:marLeft w:val="0"/>
      <w:marRight w:val="0"/>
      <w:marTop w:val="0"/>
      <w:marBottom w:val="0"/>
      <w:divBdr>
        <w:top w:val="none" w:sz="0" w:space="0" w:color="auto"/>
        <w:left w:val="none" w:sz="0" w:space="0" w:color="auto"/>
        <w:bottom w:val="none" w:sz="0" w:space="0" w:color="auto"/>
        <w:right w:val="none" w:sz="0" w:space="0" w:color="auto"/>
      </w:divBdr>
    </w:div>
    <w:div w:id="1559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ajirigold.com" TargetMode="External"/><Relationship Id="rId4" Type="http://schemas.openxmlformats.org/officeDocument/2006/relationships/settings" Target="settings.xml"/><Relationship Id="rId9" Type="http://schemas.openxmlformats.org/officeDocument/2006/relationships/hyperlink" Target="mailto:graham@tajirigol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2C55D2-7FBA-4BD3-801B-75BA64955FB0}">
  <we:reference id="0f39494e-4ce2-4df6-8599-6be2c446342a" version="2.3.0.0" store="EXCatalog" storeType="EXCatalog"/>
  <we:alternateReferences>
    <we:reference id="WA200006174" version="2.3.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598E-471C-45A8-8DF0-9B096A14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3906</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Sweeney</dc:creator>
  <cp:keywords/>
  <dc:description/>
  <cp:lastModifiedBy>G K</cp:lastModifiedBy>
  <cp:revision>4</cp:revision>
  <cp:lastPrinted>2026-04-20T16:15:00Z</cp:lastPrinted>
  <dcterms:created xsi:type="dcterms:W3CDTF">2026-05-01T16:17:00Z</dcterms:created>
  <dcterms:modified xsi:type="dcterms:W3CDTF">2026-05-01T22:20:00Z</dcterms:modified>
</cp:coreProperties>
</file>